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5"/>
        <w:ind w:left="10620" w:firstLine="708"/>
        <w:jc w:val="left"/>
        <w:rPr>
          <w:sz w:val="28"/>
          <w:szCs w:val="28"/>
        </w:rPr>
        <w:outlineLvl w:val="1"/>
      </w:pPr>
      <w:r>
        <w:rPr>
          <w:sz w:val="28"/>
          <w:szCs w:val="28"/>
        </w:rPr>
        <w:t xml:space="preserve">Приложение 12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5"/>
        <w:ind w:left="10620" w:firstLine="708"/>
        <w:jc w:val="left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5"/>
        <w:ind w:left="10620" w:firstLine="708"/>
        <w:jc w:val="left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к административному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65"/>
        <w:ind w:left="10620" w:firstLine="70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регламенту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предоставления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5"/>
        <w:ind w:left="11328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муниципальной услуги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5"/>
        <w:ind w:left="10620" w:firstLine="70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«Подготовка и утверждение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5"/>
        <w:ind w:left="10620" w:firstLine="70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документации по планировке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5"/>
        <w:ind w:left="10620" w:firstLine="708"/>
        <w:jc w:val="left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территории»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65"/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2"/>
          <w:szCs w:val="22"/>
          <w:highlight w:val="none"/>
        </w:rPr>
      </w:r>
    </w:p>
    <w:p>
      <w:pPr>
        <w:pStyle w:val="866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bookmarkStart w:id="0" w:name="undefined"/>
      <w:r>
        <w:rPr>
          <w:rFonts w:ascii="Times New Roman" w:hAnsi="Times New Roman" w:eastAsia="Times New Roman" w:cs="Times New Roman"/>
          <w:sz w:val="28"/>
          <w:szCs w:val="28"/>
        </w:rPr>
      </w:r>
      <w:bookmarkEnd w:id="0"/>
      <w:r>
        <w:rPr>
          <w:rFonts w:ascii="Times New Roman" w:hAnsi="Times New Roman" w:eastAsia="Times New Roman" w:cs="Times New Roman"/>
          <w:sz w:val="28"/>
          <w:szCs w:val="28"/>
        </w:rPr>
        <w:t xml:space="preserve">СОСТАВ, ПОСЛЕДОВАТЕЛЬНОСТЬ И СРОКИ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66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выполнения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административных процедур (действий)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 предоставлении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муниципальной услуги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6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tbl>
      <w:tblPr>
        <w:tblW w:w="4915" w:type="pct"/>
        <w:tblInd w:w="1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7" w:type="dxa"/>
          <w:top w:w="17" w:type="dxa"/>
          <w:right w:w="17" w:type="dxa"/>
          <w:bottom w:w="17" w:type="dxa"/>
        </w:tblCellMar>
        <w:tblLook w:val="0600" w:firstRow="0" w:lastRow="0" w:firstColumn="0" w:lastColumn="0" w:noHBand="1" w:noVBand="1"/>
      </w:tblPr>
      <w:tblGrid>
        <w:gridCol w:w="2026"/>
        <w:gridCol w:w="2710"/>
        <w:gridCol w:w="1540"/>
        <w:gridCol w:w="2450"/>
        <w:gridCol w:w="1710"/>
        <w:gridCol w:w="1853"/>
        <w:gridCol w:w="2595"/>
      </w:tblGrid>
      <w:tr>
        <w:tblPrEx/>
        <w:trPr/>
        <w:tc>
          <w:tcPr>
            <w:tcMar>
              <w:left w:w="28" w:type="dxa"/>
              <w:top w:w="0" w:type="dxa"/>
              <w:right w:w="28" w:type="dxa"/>
              <w:bottom w:w="0" w:type="dxa"/>
            </w:tcMar>
            <w:tcW w:w="2026" w:type="dxa"/>
            <w:textDirection w:val="lrTb"/>
            <w:noWrap w:val="false"/>
          </w:tcPr>
          <w:p>
            <w:pPr>
              <w:pStyle w:val="865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20"/>
                <w:szCs w:val="20"/>
              </w:rPr>
              <w:t xml:space="preserve">Основание для начала административной процедуры</w:t>
            </w:r>
            <w:r>
              <w:rPr>
                <w:b/>
                <w:bCs/>
                <w:sz w:val="14"/>
                <w:szCs w:val="14"/>
              </w:rPr>
            </w:r>
            <w:r>
              <w:rPr>
                <w:b/>
                <w:bCs/>
                <w:sz w:val="14"/>
                <w:szCs w:val="14"/>
              </w:rPr>
            </w:r>
          </w:p>
        </w:tc>
        <w:tc>
          <w:tcPr>
            <w:tcMar>
              <w:left w:w="28" w:type="dxa"/>
              <w:top w:w="0" w:type="dxa"/>
              <w:right w:w="28" w:type="dxa"/>
              <w:bottom w:w="0" w:type="dxa"/>
            </w:tcMar>
            <w:tcW w:w="2710" w:type="dxa"/>
            <w:textDirection w:val="lrTb"/>
            <w:noWrap w:val="false"/>
          </w:tcPr>
          <w:p>
            <w:pPr>
              <w:pStyle w:val="865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20"/>
                <w:szCs w:val="20"/>
              </w:rPr>
              <w:t xml:space="preserve">Содержание административных действий</w:t>
            </w:r>
            <w:r>
              <w:rPr>
                <w:b/>
                <w:bCs/>
                <w:sz w:val="14"/>
                <w:szCs w:val="14"/>
              </w:rPr>
            </w:r>
            <w:r>
              <w:rPr>
                <w:b/>
                <w:bCs/>
                <w:sz w:val="14"/>
                <w:szCs w:val="14"/>
              </w:rPr>
            </w:r>
          </w:p>
        </w:tc>
        <w:tc>
          <w:tcPr>
            <w:tcMar>
              <w:left w:w="28" w:type="dxa"/>
              <w:top w:w="0" w:type="dxa"/>
              <w:right w:w="28" w:type="dxa"/>
              <w:bottom w:w="0" w:type="dxa"/>
            </w:tcMar>
            <w:tcW w:w="1540" w:type="dxa"/>
            <w:textDirection w:val="lrTb"/>
            <w:noWrap w:val="false"/>
          </w:tcPr>
          <w:p>
            <w:pPr>
              <w:pStyle w:val="865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20"/>
                <w:szCs w:val="20"/>
              </w:rPr>
              <w:t xml:space="preserve">Срок выполнения административных действий</w:t>
            </w:r>
            <w:r>
              <w:rPr>
                <w:b/>
                <w:bCs/>
                <w:sz w:val="14"/>
                <w:szCs w:val="14"/>
              </w:rPr>
            </w:r>
            <w:r>
              <w:rPr>
                <w:b/>
                <w:bCs/>
                <w:sz w:val="14"/>
                <w:szCs w:val="14"/>
              </w:rPr>
            </w:r>
          </w:p>
        </w:tc>
        <w:tc>
          <w:tcPr>
            <w:tcMar>
              <w:left w:w="28" w:type="dxa"/>
              <w:top w:w="0" w:type="dxa"/>
              <w:right w:w="28" w:type="dxa"/>
              <w:bottom w:w="0" w:type="dxa"/>
            </w:tcMar>
            <w:tcW w:w="2450" w:type="dxa"/>
            <w:textDirection w:val="lrTb"/>
            <w:noWrap w:val="false"/>
          </w:tcPr>
          <w:p>
            <w:pPr>
              <w:pStyle w:val="86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Должностное лицо, ответственное за выполнение административного 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pStyle w:val="865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20"/>
                <w:szCs w:val="20"/>
              </w:rPr>
              <w:t xml:space="preserve">действия</w:t>
            </w:r>
            <w:r>
              <w:rPr>
                <w:b/>
                <w:bCs/>
                <w:sz w:val="14"/>
                <w:szCs w:val="14"/>
              </w:rPr>
            </w:r>
            <w:r>
              <w:rPr>
                <w:b/>
                <w:bCs/>
                <w:sz w:val="14"/>
                <w:szCs w:val="14"/>
              </w:rPr>
            </w:r>
          </w:p>
        </w:tc>
        <w:tc>
          <w:tcPr>
            <w:tcMar>
              <w:left w:w="28" w:type="dxa"/>
              <w:top w:w="0" w:type="dxa"/>
              <w:right w:w="28" w:type="dxa"/>
              <w:bottom w:w="0" w:type="dxa"/>
            </w:tcMar>
            <w:tcW w:w="1710" w:type="dxa"/>
            <w:textDirection w:val="lrTb"/>
            <w:noWrap w:val="false"/>
          </w:tcPr>
          <w:p>
            <w:pPr>
              <w:pStyle w:val="865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20"/>
                <w:szCs w:val="20"/>
              </w:rPr>
              <w:t xml:space="preserve">Место выполнения административного действия/ используемая информационная система</w:t>
            </w:r>
            <w:r>
              <w:rPr>
                <w:b/>
                <w:bCs/>
                <w:sz w:val="14"/>
                <w:szCs w:val="14"/>
              </w:rPr>
            </w:r>
            <w:r>
              <w:rPr>
                <w:b/>
                <w:bCs/>
                <w:sz w:val="14"/>
                <w:szCs w:val="14"/>
              </w:rPr>
            </w:r>
          </w:p>
        </w:tc>
        <w:tc>
          <w:tcPr>
            <w:tcMar>
              <w:left w:w="28" w:type="dxa"/>
              <w:top w:w="0" w:type="dxa"/>
              <w:right w:w="28" w:type="dxa"/>
              <w:bottom w:w="0" w:type="dxa"/>
            </w:tcMar>
            <w:tcW w:w="1853" w:type="dxa"/>
            <w:textDirection w:val="lrTb"/>
            <w:noWrap w:val="false"/>
          </w:tcPr>
          <w:p>
            <w:pPr>
              <w:pStyle w:val="86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Критерии 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pStyle w:val="865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20"/>
                <w:szCs w:val="20"/>
              </w:rPr>
              <w:t xml:space="preserve">принятия решения</w:t>
            </w:r>
            <w:r>
              <w:rPr>
                <w:b/>
                <w:bCs/>
                <w:sz w:val="14"/>
                <w:szCs w:val="14"/>
              </w:rPr>
            </w:r>
            <w:r>
              <w:rPr>
                <w:b/>
                <w:bCs/>
                <w:sz w:val="14"/>
                <w:szCs w:val="14"/>
              </w:rPr>
            </w:r>
          </w:p>
        </w:tc>
        <w:tc>
          <w:tcPr>
            <w:tcMar>
              <w:left w:w="28" w:type="dxa"/>
              <w:top w:w="0" w:type="dxa"/>
              <w:right w:w="28" w:type="dxa"/>
              <w:bottom w:w="0" w:type="dxa"/>
            </w:tcMar>
            <w:tcW w:w="2595" w:type="dxa"/>
            <w:textDirection w:val="lrTb"/>
            <w:noWrap w:val="false"/>
          </w:tcPr>
          <w:p>
            <w:pPr>
              <w:pStyle w:val="86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Результат административного действия, </w:t>
            </w:r>
            <w:r>
              <w:rPr>
                <w:b/>
                <w:bCs/>
                <w:sz w:val="20"/>
                <w:szCs w:val="20"/>
              </w:rPr>
              <w:t xml:space="preserve">способ фиксации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Mar>
              <w:left w:w="6" w:type="dxa"/>
              <w:top w:w="0" w:type="dxa"/>
              <w:right w:w="6" w:type="dxa"/>
              <w:bottom w:w="0" w:type="dxa"/>
            </w:tcMar>
            <w:tcW w:w="2026" w:type="dxa"/>
            <w:textDirection w:val="lrTb"/>
            <w:noWrap w:val="false"/>
          </w:tcPr>
          <w:p>
            <w:pPr>
              <w:pStyle w:val="865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20"/>
                <w:szCs w:val="20"/>
              </w:rPr>
              <w:t xml:space="preserve">1</w:t>
            </w:r>
            <w:r>
              <w:rPr>
                <w:b/>
                <w:bCs/>
                <w:sz w:val="14"/>
                <w:szCs w:val="14"/>
              </w:rPr>
            </w:r>
            <w:r>
              <w:rPr>
                <w:b/>
                <w:bCs/>
                <w:sz w:val="14"/>
                <w:szCs w:val="14"/>
              </w:rPr>
            </w:r>
          </w:p>
        </w:tc>
        <w:tc>
          <w:tcPr>
            <w:tcMar>
              <w:left w:w="6" w:type="dxa"/>
              <w:top w:w="0" w:type="dxa"/>
              <w:right w:w="6" w:type="dxa"/>
              <w:bottom w:w="0" w:type="dxa"/>
            </w:tcMar>
            <w:tcW w:w="2710" w:type="dxa"/>
            <w:textDirection w:val="lrTb"/>
            <w:noWrap w:val="false"/>
          </w:tcPr>
          <w:p>
            <w:pPr>
              <w:pStyle w:val="865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20"/>
                <w:szCs w:val="20"/>
              </w:rPr>
              <w:t xml:space="preserve">2</w:t>
            </w:r>
            <w:r>
              <w:rPr>
                <w:b/>
                <w:bCs/>
                <w:sz w:val="14"/>
                <w:szCs w:val="14"/>
              </w:rPr>
            </w:r>
            <w:r>
              <w:rPr>
                <w:b/>
                <w:bCs/>
                <w:sz w:val="14"/>
                <w:szCs w:val="14"/>
              </w:rPr>
            </w:r>
          </w:p>
        </w:tc>
        <w:tc>
          <w:tcPr>
            <w:tcMar>
              <w:left w:w="6" w:type="dxa"/>
              <w:top w:w="0" w:type="dxa"/>
              <w:right w:w="6" w:type="dxa"/>
              <w:bottom w:w="0" w:type="dxa"/>
            </w:tcMar>
            <w:tcW w:w="1540" w:type="dxa"/>
            <w:textDirection w:val="lrTb"/>
            <w:noWrap w:val="false"/>
          </w:tcPr>
          <w:p>
            <w:pPr>
              <w:pStyle w:val="865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20"/>
                <w:szCs w:val="20"/>
              </w:rPr>
              <w:t xml:space="preserve">3</w:t>
            </w:r>
            <w:r>
              <w:rPr>
                <w:b/>
                <w:bCs/>
                <w:sz w:val="14"/>
                <w:szCs w:val="14"/>
              </w:rPr>
            </w:r>
            <w:r>
              <w:rPr>
                <w:b/>
                <w:bCs/>
                <w:sz w:val="14"/>
                <w:szCs w:val="14"/>
              </w:rPr>
            </w:r>
          </w:p>
        </w:tc>
        <w:tc>
          <w:tcPr>
            <w:tcMar>
              <w:left w:w="6" w:type="dxa"/>
              <w:top w:w="0" w:type="dxa"/>
              <w:right w:w="6" w:type="dxa"/>
              <w:bottom w:w="0" w:type="dxa"/>
            </w:tcMar>
            <w:tcW w:w="2450" w:type="dxa"/>
            <w:textDirection w:val="lrTb"/>
            <w:noWrap w:val="false"/>
          </w:tcPr>
          <w:p>
            <w:pPr>
              <w:pStyle w:val="865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20"/>
                <w:szCs w:val="20"/>
              </w:rPr>
              <w:t xml:space="preserve">4</w:t>
            </w:r>
            <w:r>
              <w:rPr>
                <w:b/>
                <w:bCs/>
                <w:sz w:val="14"/>
                <w:szCs w:val="14"/>
              </w:rPr>
            </w:r>
            <w:r>
              <w:rPr>
                <w:b/>
                <w:bCs/>
                <w:sz w:val="14"/>
                <w:szCs w:val="14"/>
              </w:rPr>
            </w:r>
          </w:p>
        </w:tc>
        <w:tc>
          <w:tcPr>
            <w:tcMar>
              <w:left w:w="6" w:type="dxa"/>
              <w:top w:w="0" w:type="dxa"/>
              <w:right w:w="6" w:type="dxa"/>
              <w:bottom w:w="0" w:type="dxa"/>
            </w:tcMar>
            <w:tcW w:w="1710" w:type="dxa"/>
            <w:textDirection w:val="lrTb"/>
            <w:noWrap w:val="false"/>
          </w:tcPr>
          <w:p>
            <w:pPr>
              <w:pStyle w:val="865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20"/>
                <w:szCs w:val="20"/>
              </w:rPr>
              <w:t xml:space="preserve">5</w:t>
            </w:r>
            <w:r>
              <w:rPr>
                <w:b/>
                <w:bCs/>
                <w:sz w:val="14"/>
                <w:szCs w:val="14"/>
              </w:rPr>
            </w:r>
            <w:r>
              <w:rPr>
                <w:b/>
                <w:bCs/>
                <w:sz w:val="14"/>
                <w:szCs w:val="14"/>
              </w:rPr>
            </w:r>
          </w:p>
        </w:tc>
        <w:tc>
          <w:tcPr>
            <w:tcMar>
              <w:left w:w="6" w:type="dxa"/>
              <w:top w:w="0" w:type="dxa"/>
              <w:right w:w="6" w:type="dxa"/>
              <w:bottom w:w="0" w:type="dxa"/>
            </w:tcMar>
            <w:tcW w:w="1853" w:type="dxa"/>
            <w:textDirection w:val="lrTb"/>
            <w:noWrap w:val="false"/>
          </w:tcPr>
          <w:p>
            <w:pPr>
              <w:pStyle w:val="865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20"/>
                <w:szCs w:val="20"/>
              </w:rPr>
              <w:t xml:space="preserve">6</w:t>
            </w:r>
            <w:r>
              <w:rPr>
                <w:b/>
                <w:bCs/>
                <w:sz w:val="14"/>
                <w:szCs w:val="14"/>
              </w:rPr>
            </w:r>
            <w:r>
              <w:rPr>
                <w:b/>
                <w:bCs/>
                <w:sz w:val="14"/>
                <w:szCs w:val="14"/>
              </w:rPr>
            </w:r>
          </w:p>
        </w:tc>
        <w:tc>
          <w:tcPr>
            <w:tcMar>
              <w:left w:w="6" w:type="dxa"/>
              <w:top w:w="0" w:type="dxa"/>
              <w:right w:w="6" w:type="dxa"/>
              <w:bottom w:w="0" w:type="dxa"/>
            </w:tcMar>
            <w:tcW w:w="2595" w:type="dxa"/>
            <w:textDirection w:val="lrTb"/>
            <w:noWrap w:val="false"/>
          </w:tcPr>
          <w:p>
            <w:pPr>
              <w:pStyle w:val="865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20"/>
                <w:szCs w:val="20"/>
              </w:rPr>
              <w:t xml:space="preserve">7</w:t>
            </w:r>
            <w:r>
              <w:rPr>
                <w:b/>
                <w:bCs/>
                <w:sz w:val="14"/>
                <w:szCs w:val="14"/>
              </w:rPr>
            </w:r>
            <w:r>
              <w:rPr>
                <w:b/>
                <w:bCs/>
                <w:sz w:val="14"/>
                <w:szCs w:val="14"/>
              </w:rPr>
            </w:r>
          </w:p>
        </w:tc>
      </w:tr>
      <w:tr>
        <w:tblPrEx/>
        <w:trPr/>
        <w:tc>
          <w:tcPr>
            <w:gridSpan w:val="7"/>
            <w:tcMar>
              <w:left w:w="62" w:type="dxa"/>
              <w:top w:w="0" w:type="dxa"/>
              <w:right w:w="62" w:type="dxa"/>
              <w:bottom w:w="0" w:type="dxa"/>
            </w:tcMar>
            <w:tcW w:w="14882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outlineLvl w:val="2"/>
              <w:suppressLineNumbers w:val="0"/>
            </w:pPr>
            <w:r>
              <w:rPr>
                <w:sz w:val="24"/>
                <w:szCs w:val="24"/>
              </w:rPr>
              <w:t xml:space="preserve">Принятие решения о подготовке документации по планировке территории или внесении изменений в документацию по планировке территории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7"/>
            <w:tcMar>
              <w:left w:w="62" w:type="dxa"/>
              <w:top w:w="0" w:type="dxa"/>
              <w:right w:w="62" w:type="dxa"/>
              <w:bottom w:w="0" w:type="dxa"/>
            </w:tcMar>
            <w:tcW w:w="14882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1. Проверка документов и регистрация заявления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256"/>
        </w:trPr>
        <w:tc>
          <w:tcPr>
            <w:tcMar>
              <w:left w:w="119" w:type="dxa"/>
              <w:top w:w="0" w:type="dxa"/>
              <w:right w:w="62" w:type="dxa"/>
              <w:bottom w:w="0" w:type="dxa"/>
            </w:tcMar>
            <w:tcW w:w="2026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4"/>
                <w:szCs w:val="24"/>
                <w:highlight w:val="none"/>
              </w:rPr>
              <w:suppressLineNumbers w:val="0"/>
            </w:pPr>
            <w:r>
              <w:rPr>
                <w:sz w:val="24"/>
                <w:szCs w:val="24"/>
              </w:rPr>
              <w:t xml:space="preserve">поступление заявления и документов для предоставления муниципальной услуги в Уполномоченный орган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710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spacing w:line="235" w:lineRule="auto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прием и проверка комплектности документов на наличие/отсутствие оснований для отказа в приеме документов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119" w:type="dxa"/>
              <w:top w:w="0" w:type="dxa"/>
              <w:right w:w="62" w:type="dxa"/>
              <w:bottom w:w="0" w:type="dxa"/>
            </w:tcMar>
            <w:tcW w:w="1540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до 1 рабочего дня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450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должностное лицо Уполномоченного органа, ответственное за предоставление муниципальной услуги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710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Уполномоченный орган/ ГИС/ПГС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853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595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spacing w:line="235" w:lineRule="auto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регистрация заявления и документов в ГИС (присвоение номера и датирование); назначение должностного лица, ответственного за предоставление муниципальной услуги, и передача ему документов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710" w:type="dxa"/>
            <w:vAlign w:val="top"/>
            <w:textDirection w:val="lrTb"/>
            <w:noWrap w:val="false"/>
          </w:tcPr>
          <w:p>
            <w:pPr>
              <w:pStyle w:val="865"/>
              <w:contextualSpacing w:val="0"/>
              <w:jc w:val="left"/>
              <w:spacing w:line="228" w:lineRule="auto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принятие решения об отказе в приеме доку</w:t>
            </w:r>
            <w:r>
              <w:rPr>
                <w:sz w:val="24"/>
                <w:szCs w:val="24"/>
              </w:rPr>
              <w:t xml:space="preserve">ментов, в случае выяв</w:t>
            </w:r>
            <w:r>
              <w:rPr>
                <w:sz w:val="24"/>
                <w:szCs w:val="24"/>
              </w:rPr>
              <w:t xml:space="preserve">ления оснований для отказа в приеме документов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6" w:type="dxa"/>
              <w:top w:w="0" w:type="dxa"/>
              <w:right w:w="6" w:type="dxa"/>
              <w:bottom w:w="0" w:type="dxa"/>
            </w:tcMar>
            <w:tcW w:w="24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6" w:type="dxa"/>
              <w:top w:w="0" w:type="dxa"/>
              <w:right w:w="6" w:type="dxa"/>
              <w:bottom w:w="0" w:type="dxa"/>
            </w:tcMar>
            <w:tcW w:w="17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6" w:type="dxa"/>
              <w:top w:w="0" w:type="dxa"/>
              <w:right w:w="6" w:type="dxa"/>
              <w:bottom w:w="0" w:type="dxa"/>
            </w:tcMar>
            <w:tcW w:w="185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6" w:type="dxa"/>
              <w:top w:w="0" w:type="dxa"/>
              <w:right w:w="6" w:type="dxa"/>
              <w:bottom w:w="0" w:type="dxa"/>
            </w:tcMar>
            <w:tcW w:w="259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7"/>
        </w:trPr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710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Mar>
              <w:left w:w="6" w:type="dxa"/>
              <w:top w:w="0" w:type="dxa"/>
              <w:right w:w="6" w:type="dxa"/>
              <w:bottom w:w="0" w:type="dxa"/>
            </w:tcMar>
            <w:tcW w:w="2450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Mar>
              <w:left w:w="6" w:type="dxa"/>
              <w:top w:w="0" w:type="dxa"/>
              <w:right w:w="6" w:type="dxa"/>
              <w:bottom w:w="0" w:type="dxa"/>
            </w:tcMar>
            <w:tcW w:w="1710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Mar>
              <w:left w:w="6" w:type="dxa"/>
              <w:top w:w="0" w:type="dxa"/>
              <w:right w:w="6" w:type="dxa"/>
              <w:bottom w:w="0" w:type="dxa"/>
            </w:tcMar>
            <w:tcW w:w="1853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Mar>
              <w:left w:w="6" w:type="dxa"/>
              <w:top w:w="0" w:type="dxa"/>
              <w:right w:w="6" w:type="dxa"/>
              <w:bottom w:w="0" w:type="dxa"/>
            </w:tcMar>
            <w:tcW w:w="2595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1441"/>
        </w:trPr>
        <w:tc>
          <w:tcPr>
            <w:tcW w:w="2026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710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регистрация заявления, в случае отсутствия оснований для отказа в приеме документов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540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Mar>
              <w:left w:w="6" w:type="dxa"/>
              <w:top w:w="0" w:type="dxa"/>
              <w:right w:w="6" w:type="dxa"/>
              <w:bottom w:w="0" w:type="dxa"/>
            </w:tcMar>
            <w:tcW w:w="2450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должностное лицо Уполномоченного органа, ответственное за регистрацию корреспонденции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" w:type="dxa"/>
              <w:top w:w="0" w:type="dxa"/>
              <w:right w:w="6" w:type="dxa"/>
              <w:bottom w:w="0" w:type="dxa"/>
            </w:tcMar>
            <w:tcW w:w="1710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Уполномоченный орган/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ГИС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" w:type="dxa"/>
              <w:top w:w="0" w:type="dxa"/>
              <w:right w:w="6" w:type="dxa"/>
              <w:bottom w:w="0" w:type="dxa"/>
            </w:tcMar>
            <w:tcW w:w="1853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" w:type="dxa"/>
              <w:top w:w="0" w:type="dxa"/>
              <w:right w:w="6" w:type="dxa"/>
              <w:bottom w:w="0" w:type="dxa"/>
            </w:tcMar>
            <w:tcW w:w="2595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7"/>
            <w:tcMar>
              <w:left w:w="62" w:type="dxa"/>
              <w:top w:w="0" w:type="dxa"/>
              <w:right w:w="62" w:type="dxa"/>
              <w:bottom w:w="0" w:type="dxa"/>
            </w:tcMar>
            <w:tcW w:w="14882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2. Получение сведений посредством СМЭВ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026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пакет зарегистрированных документов, поступивших должностному лицу, ответственному за предоставление муниципальной услуги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contextualSpacing w:val="0"/>
              <w:spacing w:after="0" w:afterAutospacing="0" w:line="240" w:lineRule="auto"/>
            </w:pPr>
            <w:r/>
            <w:r/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710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направление межведомственных запросов в органы и организации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540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в день регистрации заявления и документов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450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должностное лицо Уполномоченного органа, ответственное за предоставление муниципальной услуги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710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Уполномоченный орган/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5"/>
              <w:contextualSpacing w:val="0"/>
              <w:jc w:val="lef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ГИС/ПГС/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СМЭВ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853" w:type="dxa"/>
            <w:textDirection w:val="lrTb"/>
            <w:noWrap w:val="false"/>
          </w:tcPr>
          <w:p>
            <w:pPr>
              <w:pStyle w:val="865"/>
              <w:contextualSpacing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отсутствие документов, необходимых для предоставления муниципальной услуги, находящихся в распоряжении государственных органов (организаций)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595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направление межведомственного запроса в органы (организации), предоставляющие документы (сведения)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Mar>
              <w:left w:w="17" w:type="dxa"/>
              <w:top w:w="17" w:type="dxa"/>
              <w:right w:w="17" w:type="dxa"/>
              <w:bottom w:w="17" w:type="dxa"/>
            </w:tcMa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74" w:type="dxa"/>
              <w:top w:w="0" w:type="dxa"/>
              <w:right w:w="17" w:type="dxa"/>
              <w:bottom w:w="17" w:type="dxa"/>
            </w:tcMar>
            <w:tcW w:w="2710" w:type="dxa"/>
            <w:vAlign w:val="top"/>
            <w:textDirection w:val="lrTb"/>
            <w:noWrap/>
          </w:tcPr>
          <w:p>
            <w:pPr>
              <w:contextualSpacing w:val="0"/>
              <w:spacing w:after="0" w:afterAutospacing="0" w:line="240" w:lineRule="auto"/>
              <w:shd w:val="nil" w:color="auto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получение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ответов 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межведомственные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запросы,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полного комплекта документов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tcMar>
              <w:left w:w="74" w:type="dxa"/>
              <w:top w:w="0" w:type="dxa"/>
              <w:right w:w="17" w:type="dxa"/>
              <w:bottom w:w="0" w:type="dxa"/>
            </w:tcMar>
            <w:tcW w:w="1540" w:type="dxa"/>
            <w:vAlign w:val="top"/>
            <w:textDirection w:val="lrTb"/>
            <w:noWrap w:val="false"/>
          </w:tcPr>
          <w:p>
            <w:pPr>
              <w:contextualSpacing w:val="0"/>
              <w:spacing w:after="0" w:afterAutospacing="0" w:line="240" w:lineRule="auto"/>
              <w:shd w:val="nil" w:color="auto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 5 (пяти) рабочих дней со дня направления межведомственного запроса в орган или организацию, предоставляющие документ и информацию,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иные сроки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преду-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tcMar>
              <w:left w:w="74" w:type="dxa"/>
              <w:top w:w="0" w:type="dxa"/>
              <w:right w:w="17" w:type="dxa"/>
              <w:bottom w:w="17" w:type="dxa"/>
            </w:tcMar>
            <w:tcW w:w="2450" w:type="dxa"/>
            <w:vAlign w:val="top"/>
            <w:textDirection w:val="lrTb"/>
            <w:noWrap w:val="false"/>
          </w:tcPr>
          <w:p>
            <w:pPr>
              <w:contextualSpacing w:val="0"/>
              <w:spacing w:after="0" w:afterAutospacing="0" w:line="240" w:lineRule="auto"/>
              <w:shd w:val="nil" w:color="auto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должностное лицо Уполномоченного органа, ответственное за предоставление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tcMar>
              <w:left w:w="74" w:type="dxa"/>
              <w:top w:w="0" w:type="dxa"/>
              <w:right w:w="17" w:type="dxa"/>
              <w:bottom w:w="17" w:type="dxa"/>
            </w:tcMar>
            <w:tcW w:w="1710" w:type="dxa"/>
            <w:vAlign w:val="top"/>
            <w:textDirection w:val="lrTb"/>
            <w:noWrap w:val="false"/>
          </w:tcPr>
          <w:p>
            <w:pPr>
              <w:contextualSpacing w:val="0"/>
              <w:spacing w:after="0" w:afterAutospacing="0" w:line="240" w:lineRule="auto"/>
              <w:shd w:val="nil" w:color="auto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Уполномоченный орган)/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contextualSpacing w:val="0"/>
              <w:spacing w:after="0" w:afterAutospacing="0" w:line="240" w:lineRule="auto"/>
              <w:shd w:val="nil" w:color="auto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ГИС/ПГС/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contextualSpacing w:val="0"/>
              <w:spacing w:after="0" w:afterAutospacing="0" w:line="240" w:lineRule="auto"/>
              <w:shd w:val="nil" w:color="auto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СМЭВ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17" w:type="dxa"/>
            </w:tcMar>
            <w:tcW w:w="1853" w:type="dxa"/>
            <w:vAlign w:val="top"/>
            <w:textDirection w:val="lrTb"/>
            <w:noWrap w:val="false"/>
          </w:tcPr>
          <w:p>
            <w:pPr>
              <w:contextualSpacing w:val="0"/>
              <w:spacing w:after="0" w:afterAutospacing="0" w:line="240" w:lineRule="auto"/>
              <w:shd w:val="nil" w:color="auto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tcMar>
              <w:left w:w="74" w:type="dxa"/>
              <w:top w:w="0" w:type="dxa"/>
              <w:right w:w="17" w:type="dxa"/>
              <w:bottom w:w="0" w:type="dxa"/>
            </w:tcMar>
            <w:tcW w:w="2595" w:type="dxa"/>
            <w:vAlign w:val="top"/>
            <w:textDirection w:val="lrTb"/>
            <w:noWrap w:val="false"/>
          </w:tcPr>
          <w:p>
            <w:pPr>
              <w:contextualSpacing w:val="0"/>
              <w:spacing w:after="0" w:afterAutospacing="0" w:line="240" w:lineRule="auto"/>
              <w:shd w:val="nil" w:color="auto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получение документов (сведений), необходимых для предоставления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Mar>
              <w:left w:w="17" w:type="dxa"/>
              <w:top w:w="17" w:type="dxa"/>
              <w:right w:w="17" w:type="dxa"/>
              <w:bottom w:w="17" w:type="dxa"/>
            </w:tcMar>
            <w:tcW w:w="0" w:type="auto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Mar>
              <w:left w:w="74" w:type="dxa"/>
              <w:top w:w="0" w:type="dxa"/>
              <w:right w:w="17" w:type="dxa"/>
              <w:bottom w:w="17" w:type="dxa"/>
            </w:tcMar>
            <w:tcW w:w="2710" w:type="dxa"/>
            <w:vAlign w:val="top"/>
            <w:vMerge w:val="restart"/>
            <w:textDirection w:val="lrTb"/>
            <w:noWrap/>
          </w:tcPr>
          <w:p>
            <w:pPr>
              <w:contextualSpacing w:val="0"/>
              <w:jc w:val="center"/>
              <w:spacing w:after="0" w:afterAutospacing="0" w:line="240" w:lineRule="auto"/>
              <w:shd w:val="nil" w:color="0000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Mar>
              <w:left w:w="74" w:type="dxa"/>
              <w:top w:w="0" w:type="dxa"/>
              <w:right w:w="17" w:type="dxa"/>
              <w:bottom w:w="0" w:type="dxa"/>
            </w:tcMar>
            <w:tcW w:w="1540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shd w:val="nil" w:color="0000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Mar>
              <w:left w:w="74" w:type="dxa"/>
              <w:top w:w="0" w:type="dxa"/>
              <w:right w:w="17" w:type="dxa"/>
              <w:bottom w:w="17" w:type="dxa"/>
            </w:tcMar>
            <w:tcW w:w="2450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shd w:val="nil" w:color="0000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Mar>
              <w:left w:w="74" w:type="dxa"/>
              <w:top w:w="0" w:type="dxa"/>
              <w:right w:w="17" w:type="dxa"/>
              <w:bottom w:w="17" w:type="dxa"/>
            </w:tcMar>
            <w:tcW w:w="1710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shd w:val="nil" w:color="0000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17" w:type="dxa"/>
            </w:tcMar>
            <w:tcW w:w="1853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shd w:val="nil" w:color="0000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Mar>
              <w:left w:w="74" w:type="dxa"/>
              <w:top w:w="0" w:type="dxa"/>
              <w:right w:w="17" w:type="dxa"/>
              <w:bottom w:w="0" w:type="dxa"/>
            </w:tcMar>
            <w:tcW w:w="2595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shd w:val="nil" w:color="0000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Mar>
              <w:left w:w="17" w:type="dxa"/>
              <w:top w:w="17" w:type="dxa"/>
              <w:right w:w="17" w:type="dxa"/>
              <w:bottom w:w="17" w:type="dxa"/>
            </w:tcMar>
            <w:tcW w:w="0" w:type="auto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Mar>
              <w:left w:w="74" w:type="dxa"/>
              <w:top w:w="0" w:type="dxa"/>
              <w:right w:w="17" w:type="dxa"/>
              <w:bottom w:w="17" w:type="dxa"/>
            </w:tcMar>
            <w:tcW w:w="2710" w:type="dxa"/>
            <w:vAlign w:val="top"/>
            <w:vMerge w:val="restart"/>
            <w:textDirection w:val="lrTb"/>
            <w:noWrap/>
          </w:tcPr>
          <w:p>
            <w:pPr>
              <w:contextualSpacing w:val="0"/>
              <w:spacing w:after="0" w:afterAutospacing="0" w:line="240" w:lineRule="auto"/>
              <w:shd w:val="nil" w:color="000000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Mar>
              <w:left w:w="74" w:type="dxa"/>
              <w:top w:w="0" w:type="dxa"/>
              <w:right w:w="17" w:type="dxa"/>
              <w:bottom w:w="0" w:type="dxa"/>
            </w:tcMar>
            <w:tcW w:w="1540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spacing w:after="0" w:afterAutospacing="0" w:line="240" w:lineRule="auto"/>
              <w:shd w:val="nil" w:color="000000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смотрены законодательством и субъекта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Mar>
              <w:left w:w="74" w:type="dxa"/>
              <w:top w:w="0" w:type="dxa"/>
              <w:right w:w="17" w:type="dxa"/>
              <w:bottom w:w="17" w:type="dxa"/>
            </w:tcMar>
            <w:tcW w:w="2450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spacing w:after="0" w:afterAutospacing="0" w:line="240" w:lineRule="auto"/>
              <w:shd w:val="nil" w:color="000000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Mar>
              <w:left w:w="74" w:type="dxa"/>
              <w:top w:w="0" w:type="dxa"/>
              <w:right w:w="17" w:type="dxa"/>
              <w:bottom w:w="17" w:type="dxa"/>
            </w:tcMar>
            <w:tcW w:w="1710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spacing w:after="0" w:afterAutospacing="0" w:line="240" w:lineRule="auto"/>
              <w:shd w:val="nil" w:color="000000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17" w:type="dxa"/>
            </w:tcMar>
            <w:tcW w:w="1853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spacing w:after="0" w:afterAutospacing="0" w:line="240" w:lineRule="auto"/>
              <w:shd w:val="nil" w:color="000000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Mar>
              <w:left w:w="74" w:type="dxa"/>
              <w:top w:w="0" w:type="dxa"/>
              <w:right w:w="17" w:type="dxa"/>
              <w:bottom w:w="0" w:type="dxa"/>
            </w:tcMar>
            <w:tcW w:w="2595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spacing w:after="0" w:afterAutospacing="0" w:line="240" w:lineRule="auto"/>
              <w:shd w:val="nil" w:color="000000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7"/>
            <w:tcMar>
              <w:left w:w="62" w:type="dxa"/>
              <w:top w:w="0" w:type="dxa"/>
              <w:right w:w="62" w:type="dxa"/>
              <w:bottom w:w="0" w:type="dxa"/>
            </w:tcMar>
            <w:tcW w:w="14882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3. Рассмотрение документов и сведений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026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пакет зарегистрированных документов, поступивших должностному лицу, ответственному за предоставление муниципальной услуги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710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проверка соответствия документов и сведений требованиям нормативных правовых актов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540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до 10 рабочих дней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450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должностное лицо Уполномоченного органа, ответственное за предоставление муниципальной услуги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710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Уполномоченный орган)/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ГИС/ПГС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0" w:type="dxa"/>
              <w:bottom w:w="0" w:type="dxa"/>
            </w:tcMar>
            <w:tcW w:w="1853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основания отказа в предоставлении муниципальной услуги, предусмотренные под-</w:t>
            </w:r>
            <w:r>
              <w:rPr>
                <w:sz w:val="22"/>
                <w:szCs w:val="22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</w:r>
            <w:hyperlink w:tooltip="12. Исчерпывающий перечень оснований для приостановления или отказа в предоставлении муниципальной услуги." w:anchor="P154" w:history="1">
              <w:r>
                <w:rPr>
                  <w:color w:val="000000" w:themeColor="text1"/>
                  <w:sz w:val="24"/>
                  <w:szCs w:val="24"/>
                </w:rPr>
                <w:t xml:space="preserve">пункт</w:t>
              </w:r>
              <w:r>
                <w:rPr>
                  <w:color w:val="000000" w:themeColor="text1"/>
                  <w:sz w:val="24"/>
                  <w:szCs w:val="24"/>
                </w:rPr>
                <w:t xml:space="preserve">ом 2</w:t>
              </w:r>
            </w:hyperlink>
            <w:r>
              <w:rPr>
                <w:sz w:val="24"/>
                <w:szCs w:val="24"/>
              </w:rPr>
              <w:t xml:space="preserve">.9.2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Административного регламента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595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проект результата предоставления муниципальной услуги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7"/>
            <w:tcMar>
              <w:left w:w="62" w:type="dxa"/>
              <w:top w:w="0" w:type="dxa"/>
              <w:right w:w="62" w:type="dxa"/>
              <w:bottom w:w="0" w:type="dxa"/>
            </w:tcMar>
            <w:tcW w:w="14882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4. Принятие решения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026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проект результата предоставления муниципальной услуги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710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принятие решения о предоставлении муниципальной услуги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540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не более одного рабочего дня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450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должностное лицо Уполномоченного органа, ответственное за предоставление муниципальной услуги; руководитель Уполномоченного органа или иное уполномоченное им лицо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710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Уполномоченный орган)/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ГИС/ПГС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853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основания отказа в предоставлении муниципальной услуги, предусмотренные под-</w:t>
            </w:r>
            <w:r>
              <w:rPr>
                <w:sz w:val="22"/>
                <w:szCs w:val="22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</w:r>
            <w:hyperlink w:tooltip="12. Исчерпывающий перечень оснований для приостановления или отказа в предоставлении муниципальной услуги." w:anchor="P154" w:history="1">
              <w:r>
                <w:rPr>
                  <w:color w:val="000000" w:themeColor="text1"/>
                  <w:sz w:val="24"/>
                  <w:szCs w:val="24"/>
                </w:rPr>
                <w:t xml:space="preserve">пункт</w:t>
              </w:r>
              <w:r>
                <w:rPr>
                  <w:color w:val="000000" w:themeColor="text1"/>
                  <w:sz w:val="24"/>
                  <w:szCs w:val="24"/>
                </w:rPr>
                <w:t xml:space="preserve">ом 2</w:t>
              </w:r>
            </w:hyperlink>
            <w:r>
              <w:rPr>
                <w:sz w:val="24"/>
                <w:szCs w:val="24"/>
              </w:rPr>
              <w:t xml:space="preserve">.9.2.1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Административного регламента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595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результат предоставления муниципальной услуги, подписанный уполномоченным должностным лицом (усиленной квалифицированной подписью руководителем Уполномоченного органа или иного уполномоченного им лица)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710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формирование решения о предоставлении муниципальной услуги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540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до 1 часа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gridSpan w:val="7"/>
            <w:tcMar>
              <w:left w:w="62" w:type="dxa"/>
              <w:top w:w="0" w:type="dxa"/>
              <w:right w:w="62" w:type="dxa"/>
              <w:bottom w:w="0" w:type="dxa"/>
            </w:tcMar>
            <w:tcW w:w="14882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outlineLvl w:val="2"/>
              <w:suppressLineNumbers w:val="0"/>
            </w:pPr>
            <w:r>
              <w:rPr>
                <w:sz w:val="24"/>
                <w:szCs w:val="24"/>
              </w:rPr>
              <w:t xml:space="preserve">Принятие решения об утверждении документации по планировке территории или внесении изменений в документацию по планировке территории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7"/>
            <w:tcMar>
              <w:left w:w="62" w:type="dxa"/>
              <w:top w:w="0" w:type="dxa"/>
              <w:right w:w="62" w:type="dxa"/>
              <w:bottom w:w="0" w:type="dxa"/>
            </w:tcMar>
            <w:tcW w:w="14882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1. Проверка документов и регистрация заявления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026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поступление заявления и доку-</w:t>
            </w:r>
            <w:r>
              <w:rPr>
                <w:sz w:val="24"/>
                <w:szCs w:val="24"/>
              </w:rPr>
              <w:t xml:space="preserve">ментов для предо</w:t>
            </w:r>
            <w:r>
              <w:rPr>
                <w:sz w:val="24"/>
                <w:szCs w:val="24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710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прием и проверка комплектности документов </w:t>
            </w:r>
            <w:r>
              <w:rPr>
                <w:sz w:val="24"/>
                <w:szCs w:val="24"/>
              </w:rPr>
              <w:t xml:space="preserve">на наличие/отсутствие </w:t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540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до оного рабочего дня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450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должностное лицо Уполномоченного ор</w:t>
            </w:r>
            <w:r>
              <w:rPr>
                <w:sz w:val="24"/>
                <w:szCs w:val="24"/>
              </w:rPr>
              <w:t xml:space="preserve">гана, ответственное за </w:t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710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Уполномоченный орган/</w:t>
            </w:r>
            <w:r>
              <w:rPr>
                <w:sz w:val="22"/>
                <w:szCs w:val="22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ГИС/ПГС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853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595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регистрация заявления и документов в ГИС (при</w:t>
            </w:r>
            <w:r>
              <w:rPr>
                <w:sz w:val="24"/>
                <w:szCs w:val="24"/>
              </w:rPr>
              <w:t xml:space="preserve">своение номера и 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026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center"/>
              <w:rPr>
                <w:b/>
                <w:bCs/>
                <w:sz w:val="20"/>
                <w:szCs w:val="20"/>
              </w:rPr>
              <w:suppressLineNumbers w:val="0"/>
            </w:pPr>
            <w:r>
              <w:rPr>
                <w:b/>
                <w:bCs/>
                <w:sz w:val="20"/>
                <w:szCs w:val="20"/>
              </w:rPr>
              <w:t xml:space="preserve">1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710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center"/>
              <w:rPr>
                <w:b/>
                <w:bCs/>
                <w:sz w:val="20"/>
                <w:szCs w:val="20"/>
              </w:rPr>
              <w:suppressLineNumbers w:val="0"/>
            </w:pPr>
            <w:r>
              <w:rPr>
                <w:b/>
                <w:bCs/>
                <w:sz w:val="20"/>
                <w:szCs w:val="20"/>
              </w:rPr>
              <w:t xml:space="preserve">2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540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center"/>
              <w:rPr>
                <w:b/>
                <w:bCs/>
                <w:sz w:val="20"/>
                <w:szCs w:val="20"/>
              </w:rPr>
              <w:suppressLineNumbers w:val="0"/>
            </w:pPr>
            <w:r>
              <w:rPr>
                <w:b/>
                <w:bCs/>
                <w:sz w:val="20"/>
                <w:szCs w:val="20"/>
              </w:rPr>
              <w:t xml:space="preserve">3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450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center"/>
              <w:rPr>
                <w:b/>
                <w:bCs/>
                <w:sz w:val="20"/>
                <w:szCs w:val="20"/>
              </w:rPr>
              <w:suppressLineNumbers w:val="0"/>
            </w:pPr>
            <w:r>
              <w:rPr>
                <w:b/>
                <w:bCs/>
                <w:sz w:val="20"/>
                <w:szCs w:val="20"/>
              </w:rPr>
              <w:t xml:space="preserve">4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710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center"/>
              <w:rPr>
                <w:b/>
                <w:bCs/>
                <w:sz w:val="20"/>
                <w:szCs w:val="20"/>
              </w:rPr>
              <w:suppressLineNumbers w:val="0"/>
            </w:pPr>
            <w:r>
              <w:rPr>
                <w:b/>
                <w:bCs/>
                <w:sz w:val="20"/>
                <w:szCs w:val="20"/>
              </w:rPr>
              <w:t xml:space="preserve">5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853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center"/>
              <w:rPr>
                <w:b/>
                <w:bCs/>
                <w:sz w:val="20"/>
                <w:szCs w:val="20"/>
              </w:rPr>
              <w:suppressLineNumbers w:val="0"/>
            </w:pPr>
            <w:r>
              <w:rPr>
                <w:b/>
                <w:bCs/>
                <w:sz w:val="20"/>
                <w:szCs w:val="20"/>
              </w:rPr>
              <w:t xml:space="preserve">6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595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center"/>
              <w:rPr>
                <w:b/>
                <w:bCs/>
                <w:sz w:val="20"/>
                <w:szCs w:val="20"/>
              </w:rPr>
              <w:suppressLineNumbers w:val="0"/>
            </w:pPr>
            <w:r>
              <w:rPr>
                <w:b/>
                <w:bCs/>
                <w:sz w:val="20"/>
                <w:szCs w:val="20"/>
              </w:rPr>
              <w:t xml:space="preserve">7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026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ставления муни-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ципальной услуги в Уполномоченный орган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r/>
            <w:r/>
          </w:p>
          <w:p>
            <w:r/>
            <w:r/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710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оснований для отказа 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 приеме документов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540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450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предоставление муни</w:t>
            </w:r>
            <w:r>
              <w:rPr>
                <w:sz w:val="22"/>
                <w:szCs w:val="22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ципальной услуги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710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65"/>
              <w:contextualSpacing w:val="0"/>
              <w:jc w:val="lef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853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595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датирование); назначение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должностного лица, ответственного за предоставление муниципальной услуги, и передача ему документов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687"/>
        </w:trPr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710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принятие решения об отказе в приеме документов, в случае выявления оснований для отказа в приеме документов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450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710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85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595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710" w:type="dxa"/>
            <w:vAlign w:val="top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регистрация заявления, в случае отсутствия оснований для отказа в приеме документов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450" w:type="dxa"/>
            <w:vAlign w:val="top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должностное лицо Уполномоченного органа, ответственное за регистрацию корреспонденции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710" w:type="dxa"/>
            <w:vAlign w:val="top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Уполномоченный орган/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ГИС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85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595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7"/>
            <w:tcMar>
              <w:left w:w="62" w:type="dxa"/>
              <w:top w:w="0" w:type="dxa"/>
              <w:right w:w="62" w:type="dxa"/>
              <w:bottom w:w="0" w:type="dxa"/>
            </w:tcMar>
            <w:tcW w:w="14882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2. Получение сведений посредством СМЭВ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026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пакет зарегистрированных документов, поступивших должностному лицу, ответственному за предоставление муниципальной услуги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r/>
            <w:r/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710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направление межведомственных запросов в органы и организации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540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в день регистрации заявления и документов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450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должностное лицо Уполномоченного органа, ответственное за предоставление муниципальной услуги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710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Уполномоченный орган/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5"/>
              <w:contextualSpacing w:val="0"/>
              <w:jc w:val="lef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ГИС/ПГС/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СМЭВ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853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отсутствие документов, необходимых для предоставления муниципальной услуги, находящихся в распоряжении государственных органов (организаций)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595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направление межведомственного запроса в органы (организации), предоставляющие документы (сведения)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710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получение ответов на межведомственные за</w:t>
            </w:r>
            <w:r>
              <w:rPr>
                <w:sz w:val="24"/>
                <w:szCs w:val="24"/>
              </w:rPr>
              <w:t xml:space="preserve">просы, формирование </w:t>
            </w:r>
            <w:r>
              <w:rPr>
                <w:sz w:val="24"/>
                <w:szCs w:val="24"/>
              </w:rPr>
              <w:t xml:space="preserve">полного комплекта до</w:t>
            </w:r>
            <w:r>
              <w:rPr>
                <w:sz w:val="24"/>
                <w:szCs w:val="24"/>
              </w:rPr>
              <w:t xml:space="preserve">кументов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540" w:type="dxa"/>
            <w:vAlign w:val="top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до 5 (пяти) рабочих дней </w:t>
            </w:r>
            <w:r>
              <w:rPr>
                <w:sz w:val="24"/>
                <w:szCs w:val="24"/>
              </w:rPr>
              <w:t xml:space="preserve">со дня направления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межведомственного запроса в орган или ор-</w:t>
            </w:r>
            <w:r>
              <w:rPr>
                <w:sz w:val="24"/>
                <w:szCs w:val="24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450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должностное лицо Уполномоченного ор</w:t>
            </w:r>
            <w:r>
              <w:rPr>
                <w:sz w:val="24"/>
                <w:szCs w:val="24"/>
              </w:rPr>
              <w:t xml:space="preserve">гана, ответственное за предоставление муни</w:t>
            </w:r>
            <w:r>
              <w:rPr>
                <w:sz w:val="24"/>
                <w:szCs w:val="24"/>
              </w:rPr>
              <w:t xml:space="preserve">ципальной услуги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710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Уполномоченный орган)/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5"/>
              <w:contextualSpacing w:val="0"/>
              <w:jc w:val="lef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ГИС/ПГС/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СМЭВ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85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595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получение документов (сведений), необходи</w:t>
            </w:r>
            <w:r>
              <w:rPr>
                <w:sz w:val="24"/>
                <w:szCs w:val="24"/>
              </w:rPr>
              <w:t xml:space="preserve">мых для предоставления муниципальной услуги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710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540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450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710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853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595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0" w:type="auto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710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540" w:type="dxa"/>
            <w:vAlign w:val="top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ганизацию, </w:t>
            </w:r>
            <w:r>
              <w:rPr>
                <w:sz w:val="24"/>
                <w:szCs w:val="24"/>
              </w:rPr>
              <w:t xml:space="preserve">предоставля</w:t>
            </w:r>
            <w:r>
              <w:rPr>
                <w:sz w:val="24"/>
                <w:szCs w:val="24"/>
              </w:rPr>
              <w:t xml:space="preserve">ющие документ и информацию, если иные сроки не предусмотрены законодательством и субъекта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450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710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853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595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7"/>
            <w:tcMar>
              <w:left w:w="62" w:type="dxa"/>
              <w:top w:w="0" w:type="dxa"/>
              <w:right w:w="62" w:type="dxa"/>
              <w:bottom w:w="0" w:type="dxa"/>
            </w:tcMar>
            <w:tcW w:w="14882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3. Рассмотрение документов и сведений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026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пакет зарегистрированных документов, поступивших должностному лицу, ответственному за предоставление муниципальной услуги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710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проверка соответствия документов и сведений требованиям нормативных правовых актов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540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до 20 рабочих дней со дня поступления документации по планировке территории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450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должностное лицо Уполномоченного органа, ответственное за предоставление муниципальной услуги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710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Уполномоченный орган)/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ГИС/ПГС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853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основания отказа в предоставлении муниципальной услуги, предусмотренные под</w:t>
            </w:r>
            <w:hyperlink w:tooltip="12. Исчерпывающий перечень оснований для приостановления или отказа в предоставлении муниципальной услуги." w:anchor="P154" w:history="1">
              <w:r>
                <w:rPr>
                  <w:color w:val="000000" w:themeColor="text1"/>
                  <w:sz w:val="24"/>
                  <w:szCs w:val="24"/>
                </w:rPr>
                <w:t xml:space="preserve">пункт</w:t>
              </w:r>
              <w:r>
                <w:rPr>
                  <w:color w:val="000000" w:themeColor="text1"/>
                  <w:sz w:val="24"/>
                  <w:szCs w:val="24"/>
                </w:rPr>
                <w:t xml:space="preserve">ом 2</w:t>
              </w:r>
            </w:hyperlink>
            <w:r>
              <w:rPr>
                <w:sz w:val="24"/>
                <w:szCs w:val="24"/>
              </w:rPr>
              <w:t xml:space="preserve">.9.2.2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Административного регламента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595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проект результата предоставления муниципальной услуги либо принятие решения о проведении проведение публичных слушаний или общественных обсуждений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026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соответствие документов и сведений требованиям нормативных правовых актов предоставления муниципальной </w:t>
            </w:r>
            <w:r>
              <w:rPr>
                <w:sz w:val="24"/>
                <w:szCs w:val="24"/>
              </w:rPr>
              <w:t xml:space="preserve">услуги, наличие оснований для проведения пуб-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710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проведение публичных слушаний или общественных обсуждений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540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не менее одного и не более 3 (трех) месяцев со дня оповещения жителей муниципаль</w:t>
            </w:r>
            <w:r>
              <w:rPr>
                <w:sz w:val="24"/>
                <w:szCs w:val="24"/>
              </w:rPr>
              <w:t xml:space="preserve">ного образования о проведении пуб-</w:t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450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должностное лицо Уполномоченного органа, ответственное за предоставление муниципальной услуги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710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853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595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подготовка протокола публичных слушаний или общественных обсуждений и заключения о результатах публичных слушаний или общественных обсуждений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026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center"/>
              <w:rPr>
                <w:b/>
                <w:bCs/>
                <w:sz w:val="20"/>
                <w:szCs w:val="20"/>
              </w:rPr>
              <w:suppressLineNumbers w:val="0"/>
            </w:pPr>
            <w:r>
              <w:rPr>
                <w:b/>
                <w:bCs/>
                <w:sz w:val="20"/>
                <w:szCs w:val="20"/>
              </w:rPr>
              <w:t xml:space="preserve">1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710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center"/>
              <w:rPr>
                <w:b/>
                <w:bCs/>
                <w:sz w:val="20"/>
                <w:szCs w:val="20"/>
              </w:rPr>
              <w:suppressLineNumbers w:val="0"/>
            </w:pPr>
            <w:r>
              <w:rPr>
                <w:b/>
                <w:bCs/>
                <w:sz w:val="20"/>
                <w:szCs w:val="20"/>
              </w:rPr>
              <w:t xml:space="preserve">2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540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center"/>
              <w:rPr>
                <w:b/>
                <w:bCs/>
                <w:sz w:val="20"/>
                <w:szCs w:val="20"/>
              </w:rPr>
              <w:suppressLineNumbers w:val="0"/>
            </w:pPr>
            <w:r>
              <w:rPr>
                <w:b/>
                <w:bCs/>
                <w:sz w:val="20"/>
                <w:szCs w:val="20"/>
              </w:rPr>
              <w:t xml:space="preserve">3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450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center"/>
              <w:rPr>
                <w:b/>
                <w:bCs/>
                <w:sz w:val="20"/>
                <w:szCs w:val="20"/>
              </w:rPr>
              <w:suppressLineNumbers w:val="0"/>
            </w:pPr>
            <w:r>
              <w:rPr>
                <w:b/>
                <w:bCs/>
                <w:sz w:val="20"/>
                <w:szCs w:val="20"/>
              </w:rPr>
              <w:t xml:space="preserve">4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710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center"/>
              <w:rPr>
                <w:b/>
                <w:bCs/>
                <w:sz w:val="20"/>
                <w:szCs w:val="20"/>
              </w:rPr>
              <w:suppressLineNumbers w:val="0"/>
            </w:pPr>
            <w:r>
              <w:rPr>
                <w:b/>
                <w:bCs/>
                <w:sz w:val="20"/>
                <w:szCs w:val="20"/>
              </w:rPr>
              <w:t xml:space="preserve">5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853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center"/>
              <w:rPr>
                <w:b/>
                <w:bCs/>
                <w:sz w:val="20"/>
                <w:szCs w:val="20"/>
              </w:rPr>
              <w:suppressLineNumbers w:val="0"/>
            </w:pPr>
            <w:r>
              <w:rPr>
                <w:b/>
                <w:bCs/>
                <w:sz w:val="20"/>
                <w:szCs w:val="20"/>
              </w:rPr>
              <w:t xml:space="preserve">6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595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center"/>
              <w:rPr>
                <w:b/>
                <w:bCs/>
                <w:sz w:val="20"/>
                <w:szCs w:val="20"/>
              </w:rPr>
              <w:suppressLineNumbers w:val="0"/>
            </w:pPr>
            <w:r>
              <w:rPr>
                <w:b/>
                <w:bCs/>
                <w:sz w:val="20"/>
                <w:szCs w:val="20"/>
              </w:rPr>
              <w:t xml:space="preserve">7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026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личных слушаний </w:t>
            </w:r>
            <w:r>
              <w:rPr>
                <w:sz w:val="24"/>
                <w:szCs w:val="24"/>
              </w:rPr>
              <w:t xml:space="preserve">или общественных обсуждений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710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540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личных слу</w:t>
            </w:r>
            <w:r>
              <w:rPr>
                <w:sz w:val="22"/>
                <w:szCs w:val="22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шаний или обществен</w:t>
            </w:r>
            <w:r>
              <w:rPr>
                <w:sz w:val="22"/>
                <w:szCs w:val="22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ных обсуждений до дня опубликования заключения о результатах публичных слушаний или общественных обсуждений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450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710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853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595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7"/>
            <w:tcMar>
              <w:left w:w="62" w:type="dxa"/>
              <w:top w:w="0" w:type="dxa"/>
              <w:right w:w="62" w:type="dxa"/>
              <w:bottom w:w="0" w:type="dxa"/>
            </w:tcMar>
            <w:tcW w:w="14882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4. Принятие решения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026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проект результата предоставления муниципальной услуги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r/>
            <w:r/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710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принятие решения о предоставлении муниципальной услуги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r/>
            <w:r/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540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не более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20 рабочих дней со дня опубликования заключения о результатах публичных слушаний или общественных обсуждений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450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должностное лицо Уполномоченного органа, ответственное за предоставление муниципальной услуги; руководитель Уполномоченного органа или иное уполномоченное им лицо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r/>
            <w:r/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710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Уполномоченный орган)/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ГИС/ПГС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r/>
            <w:r/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1853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результаты публичных слушаний + отсутствие </w:t>
            </w:r>
            <w:r>
              <w:rPr>
                <w:sz w:val="24"/>
                <w:szCs w:val="24"/>
              </w:rPr>
              <w:t xml:space="preserve">оснований для отказа в предоставлении муниципальной услуги, предусмотренные </w:t>
            </w:r>
            <w:r>
              <w:rPr>
                <w:sz w:val="24"/>
                <w:szCs w:val="24"/>
                <w14:ligatures w14:val="none"/>
              </w:rPr>
            </w:r>
          </w:p>
          <w:p>
            <w:pPr>
              <w:pStyle w:val="865"/>
              <w:contextualSpacing w:val="0"/>
              <w:jc w:val="lef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</w:rPr>
              <w:t xml:space="preserve">под</w:t>
            </w:r>
            <w:r>
              <w:rPr>
                <w:sz w:val="24"/>
                <w:szCs w:val="24"/>
                <w14:ligatures w14:val="none"/>
              </w:rPr>
            </w:r>
            <w:r/>
            <w:r>
              <w:rPr>
                <w:sz w:val="24"/>
                <w:szCs w:val="24"/>
              </w:rPr>
            </w:r>
            <w:hyperlink w:tooltip="12. Исчерпывающий перечень оснований для приостановления или отказа в предоставлении муниципальной услуги." w:anchor="P154" w:history="1">
              <w:r>
                <w:rPr>
                  <w:sz w:val="24"/>
                  <w:szCs w:val="24"/>
                </w:rPr>
                <w:t xml:space="preserve">пункт</w:t>
              </w:r>
              <w:r>
                <w:rPr>
                  <w:sz w:val="24"/>
                  <w:szCs w:val="24"/>
                </w:rPr>
                <w:t xml:space="preserve">ом 2</w:t>
              </w:r>
            </w:hyperlink>
            <w:r>
              <w:rPr>
                <w:sz w:val="24"/>
                <w:szCs w:val="24"/>
              </w:rPr>
              <w:t xml:space="preserve">.9.2.2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Административного регламента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595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результат предоставления муниципальной услуги, подписанный уполномоченным должностным лицом (усиленной квалифицированной подписью руководителем Уполномоченного органа или иного уполномоченного им лица)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r/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57" w:type="dxa"/>
              <w:top w:w="17" w:type="dxa"/>
              <w:right w:w="0" w:type="dxa"/>
              <w:bottom w:w="17" w:type="dxa"/>
            </w:tcMar>
            <w:tcW w:w="1540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не более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20 рабочих </w:t>
            </w:r>
            <w:r>
              <w:rPr>
                <w:sz w:val="24"/>
                <w:szCs w:val="24"/>
              </w:rPr>
              <w:t xml:space="preserve">дней со дня поступления документации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710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Mar>
              <w:left w:w="6" w:type="dxa"/>
              <w:top w:w="0" w:type="dxa"/>
              <w:right w:w="62" w:type="dxa"/>
              <w:bottom w:w="0" w:type="dxa"/>
            </w:tcMar>
            <w:tcW w:w="1540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2026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710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Mar>
              <w:left w:w="57" w:type="dxa"/>
              <w:top w:w="0" w:type="dxa"/>
              <w:right w:w="0" w:type="dxa"/>
              <w:bottom w:w="0" w:type="dxa"/>
            </w:tcMar>
            <w:tcW w:w="1540" w:type="dxa"/>
            <w:vMerge w:val="restart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по планиров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ке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территории в случае, если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публичные слушания или общественные обсуждения не проводились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50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1710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1853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95" w:type="dxa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710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формирование решения о предоставлении муниципальной услуги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Mar>
              <w:left w:w="6" w:type="dxa"/>
              <w:top w:w="0" w:type="dxa"/>
              <w:right w:w="62" w:type="dxa"/>
              <w:bottom w:w="0" w:type="dxa"/>
            </w:tcMar>
            <w:tcW w:w="1540" w:type="dxa"/>
            <w:textDirection w:val="lrTb"/>
            <w:noWrap w:val="false"/>
          </w:tcPr>
          <w:p>
            <w:pPr>
              <w:pStyle w:val="865"/>
              <w:contextualSpacing w:val="0"/>
              <w:jc w:val="left"/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до 1 часа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contextualSpacing w:val="0"/>
        <w:jc w:val="left"/>
        <w:keepLines/>
        <w:rPr>
          <w:sz w:val="22"/>
          <w:szCs w:val="22"/>
        </w:rPr>
        <w:sectPr>
          <w:headerReference w:type="default" r:id="rId8"/>
          <w:footerReference w:type="first" r:id="rId9"/>
          <w:footnotePr/>
          <w:endnotePr/>
          <w:type w:val="nextPage"/>
          <w:pgSz w:w="16838" w:h="11906" w:orient="landscape"/>
          <w:pgMar w:top="1757" w:right="850" w:bottom="850" w:left="850" w:header="567" w:footer="567" w:gutter="0"/>
          <w:cols w:num="1" w:sep="0" w:space="1701" w:equalWidth="1"/>
          <w:docGrid w:linePitch="360"/>
          <w:titlePg/>
        </w:sectPr>
        <w:suppressLineNumbers w:val="0"/>
      </w:pPr>
      <w:r>
        <w:rPr>
          <w:sz w:val="24"/>
          <w:szCs w:val="24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9"/>
      <w:jc w:val="center"/>
    </w:pPr>
    <w:fldSimple w:instr="PAGE \* MERGEFORMAT">
      <w:r>
        <w:rPr>
          <w:rFonts w:ascii="Times New Roman" w:hAnsi="Times New Roman" w:eastAsia="Times New Roman" w:cs="Times New Roman"/>
          <w:sz w:val="28"/>
          <w:szCs w:val="28"/>
        </w:rPr>
        <w:t xml:space="preserve">1</w:t>
      </w:r>
    </w:fldSimple>
    <w:r>
      <w:rPr>
        <w:rFonts w:ascii="Times New Roman" w:hAnsi="Times New Roman" w:eastAsia="Times New Roman" w:cs="Times New Roman"/>
        <w:sz w:val="28"/>
        <w:szCs w:val="28"/>
      </w:rPr>
    </w:r>
    <w:r>
      <w:rPr>
        <w:rFonts w:ascii="Times New Roman" w:hAnsi="Times New Roman" w:eastAsia="Times New Roman" w:cs="Times New Roman"/>
        <w:sz w:val="28"/>
        <w:szCs w:val="28"/>
      </w:rPr>
    </w:r>
    <w:r/>
  </w:p>
  <w:p>
    <w:pPr>
      <w:pStyle w:val="709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3">
    <w:name w:val="Heading 1"/>
    <w:basedOn w:val="859"/>
    <w:next w:val="859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4">
    <w:name w:val="Heading 1 Char"/>
    <w:link w:val="683"/>
    <w:uiPriority w:val="9"/>
    <w:rPr>
      <w:rFonts w:ascii="Arial" w:hAnsi="Arial" w:eastAsia="Arial" w:cs="Arial"/>
      <w:sz w:val="40"/>
      <w:szCs w:val="40"/>
    </w:rPr>
  </w:style>
  <w:style w:type="paragraph" w:styleId="685">
    <w:name w:val="Heading 2"/>
    <w:basedOn w:val="859"/>
    <w:next w:val="859"/>
    <w:link w:val="68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6">
    <w:name w:val="Heading 2 Char"/>
    <w:link w:val="685"/>
    <w:uiPriority w:val="9"/>
    <w:rPr>
      <w:rFonts w:ascii="Arial" w:hAnsi="Arial" w:eastAsia="Arial" w:cs="Arial"/>
      <w:sz w:val="34"/>
    </w:rPr>
  </w:style>
  <w:style w:type="paragraph" w:styleId="687">
    <w:name w:val="Heading 3"/>
    <w:basedOn w:val="859"/>
    <w:next w:val="859"/>
    <w:link w:val="68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8">
    <w:name w:val="Heading 3 Char"/>
    <w:link w:val="687"/>
    <w:uiPriority w:val="9"/>
    <w:rPr>
      <w:rFonts w:ascii="Arial" w:hAnsi="Arial" w:eastAsia="Arial" w:cs="Arial"/>
      <w:sz w:val="30"/>
      <w:szCs w:val="30"/>
    </w:rPr>
  </w:style>
  <w:style w:type="paragraph" w:styleId="689">
    <w:name w:val="Heading 4"/>
    <w:basedOn w:val="859"/>
    <w:next w:val="859"/>
    <w:link w:val="69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0">
    <w:name w:val="Heading 4 Char"/>
    <w:link w:val="689"/>
    <w:uiPriority w:val="9"/>
    <w:rPr>
      <w:rFonts w:ascii="Arial" w:hAnsi="Arial" w:eastAsia="Arial" w:cs="Arial"/>
      <w:b/>
      <w:bCs/>
      <w:sz w:val="26"/>
      <w:szCs w:val="26"/>
    </w:rPr>
  </w:style>
  <w:style w:type="paragraph" w:styleId="691">
    <w:name w:val="Heading 5"/>
    <w:basedOn w:val="859"/>
    <w:next w:val="859"/>
    <w:link w:val="69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2">
    <w:name w:val="Heading 5 Char"/>
    <w:link w:val="691"/>
    <w:uiPriority w:val="9"/>
    <w:rPr>
      <w:rFonts w:ascii="Arial" w:hAnsi="Arial" w:eastAsia="Arial" w:cs="Arial"/>
      <w:b/>
      <w:bCs/>
      <w:sz w:val="24"/>
      <w:szCs w:val="24"/>
    </w:rPr>
  </w:style>
  <w:style w:type="paragraph" w:styleId="693">
    <w:name w:val="Heading 6"/>
    <w:basedOn w:val="859"/>
    <w:next w:val="859"/>
    <w:link w:val="69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4">
    <w:name w:val="Heading 6 Char"/>
    <w:link w:val="693"/>
    <w:uiPriority w:val="9"/>
    <w:rPr>
      <w:rFonts w:ascii="Arial" w:hAnsi="Arial" w:eastAsia="Arial" w:cs="Arial"/>
      <w:b/>
      <w:bCs/>
      <w:sz w:val="22"/>
      <w:szCs w:val="22"/>
    </w:rPr>
  </w:style>
  <w:style w:type="paragraph" w:styleId="695">
    <w:name w:val="Heading 7"/>
    <w:basedOn w:val="859"/>
    <w:next w:val="859"/>
    <w:link w:val="69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6">
    <w:name w:val="Heading 7 Char"/>
    <w:link w:val="69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7">
    <w:name w:val="Heading 8"/>
    <w:basedOn w:val="859"/>
    <w:next w:val="859"/>
    <w:link w:val="69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8">
    <w:name w:val="Heading 8 Char"/>
    <w:link w:val="697"/>
    <w:uiPriority w:val="9"/>
    <w:rPr>
      <w:rFonts w:ascii="Arial" w:hAnsi="Arial" w:eastAsia="Arial" w:cs="Arial"/>
      <w:i/>
      <w:iCs/>
      <w:sz w:val="22"/>
      <w:szCs w:val="22"/>
    </w:rPr>
  </w:style>
  <w:style w:type="paragraph" w:styleId="699">
    <w:name w:val="Heading 9"/>
    <w:basedOn w:val="859"/>
    <w:next w:val="859"/>
    <w:link w:val="70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0">
    <w:name w:val="Heading 9 Char"/>
    <w:link w:val="699"/>
    <w:uiPriority w:val="9"/>
    <w:rPr>
      <w:rFonts w:ascii="Arial" w:hAnsi="Arial" w:eastAsia="Arial" w:cs="Arial"/>
      <w:i/>
      <w:iCs/>
      <w:sz w:val="21"/>
      <w:szCs w:val="21"/>
    </w:rPr>
  </w:style>
  <w:style w:type="paragraph" w:styleId="701">
    <w:name w:val="Title"/>
    <w:basedOn w:val="859"/>
    <w:next w:val="859"/>
    <w:link w:val="70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2">
    <w:name w:val="Title Char"/>
    <w:link w:val="701"/>
    <w:uiPriority w:val="10"/>
    <w:rPr>
      <w:sz w:val="48"/>
      <w:szCs w:val="48"/>
    </w:rPr>
  </w:style>
  <w:style w:type="paragraph" w:styleId="703">
    <w:name w:val="Subtitle"/>
    <w:basedOn w:val="859"/>
    <w:next w:val="859"/>
    <w:link w:val="704"/>
    <w:uiPriority w:val="11"/>
    <w:qFormat/>
    <w:pPr>
      <w:spacing w:before="200" w:after="200"/>
    </w:pPr>
    <w:rPr>
      <w:sz w:val="24"/>
      <w:szCs w:val="24"/>
    </w:rPr>
  </w:style>
  <w:style w:type="character" w:styleId="704">
    <w:name w:val="Subtitle Char"/>
    <w:link w:val="703"/>
    <w:uiPriority w:val="11"/>
    <w:rPr>
      <w:sz w:val="24"/>
      <w:szCs w:val="24"/>
    </w:rPr>
  </w:style>
  <w:style w:type="paragraph" w:styleId="705">
    <w:name w:val="Quote"/>
    <w:basedOn w:val="859"/>
    <w:next w:val="859"/>
    <w:link w:val="706"/>
    <w:uiPriority w:val="29"/>
    <w:qFormat/>
    <w:pPr>
      <w:ind w:left="720" w:right="720"/>
    </w:pPr>
    <w:rPr>
      <w:i/>
    </w:rPr>
  </w:style>
  <w:style w:type="character" w:styleId="706">
    <w:name w:val="Quote Char"/>
    <w:link w:val="705"/>
    <w:uiPriority w:val="29"/>
    <w:rPr>
      <w:i/>
    </w:rPr>
  </w:style>
  <w:style w:type="paragraph" w:styleId="707">
    <w:name w:val="Intense Quote"/>
    <w:basedOn w:val="859"/>
    <w:next w:val="859"/>
    <w:link w:val="70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8">
    <w:name w:val="Intense Quote Char"/>
    <w:link w:val="707"/>
    <w:uiPriority w:val="30"/>
    <w:rPr>
      <w:i/>
    </w:rPr>
  </w:style>
  <w:style w:type="paragraph" w:styleId="709">
    <w:name w:val="Header"/>
    <w:basedOn w:val="859"/>
    <w:link w:val="71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0">
    <w:name w:val="Header Char"/>
    <w:link w:val="709"/>
    <w:uiPriority w:val="99"/>
  </w:style>
  <w:style w:type="paragraph" w:styleId="711">
    <w:name w:val="Footer"/>
    <w:basedOn w:val="859"/>
    <w:link w:val="71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2">
    <w:name w:val="Footer Char"/>
    <w:link w:val="711"/>
    <w:uiPriority w:val="99"/>
  </w:style>
  <w:style w:type="paragraph" w:styleId="713">
    <w:name w:val="Caption"/>
    <w:basedOn w:val="859"/>
    <w:next w:val="859"/>
    <w:link w:val="71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4">
    <w:name w:val="Caption Char"/>
    <w:link w:val="713"/>
    <w:uiPriority w:val="35"/>
    <w:rPr>
      <w:b/>
      <w:bCs/>
      <w:color w:val="4f81bd" w:themeColor="accent1"/>
      <w:sz w:val="18"/>
      <w:szCs w:val="18"/>
    </w:rPr>
  </w:style>
  <w:style w:type="table" w:styleId="715">
    <w:name w:val="Table Grid"/>
    <w:basedOn w:val="86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6">
    <w:name w:val="Table Grid Light"/>
    <w:basedOn w:val="86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7">
    <w:name w:val="Plain Table 1"/>
    <w:basedOn w:val="86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8">
    <w:name w:val="Plain Table 2"/>
    <w:basedOn w:val="86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0">
    <w:name w:val="Plain Table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Plain Table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2">
    <w:name w:val="Grid Table 1 Light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4"/>
    <w:basedOn w:val="86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4">
    <w:name w:val="Grid Table 4 - Accent 1"/>
    <w:basedOn w:val="86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5">
    <w:name w:val="Grid Table 4 - Accent 2"/>
    <w:basedOn w:val="86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6">
    <w:name w:val="Grid Table 4 - Accent 3"/>
    <w:basedOn w:val="86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7">
    <w:name w:val="Grid Table 4 - Accent 4"/>
    <w:basedOn w:val="86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8">
    <w:name w:val="Grid Table 4 - Accent 5"/>
    <w:basedOn w:val="86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9">
    <w:name w:val="Grid Table 4 - Accent 6"/>
    <w:basedOn w:val="86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0">
    <w:name w:val="Grid Table 5 Dark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1">
    <w:name w:val="Grid Table 5 Dark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52">
    <w:name w:val="Grid Table 5 Dark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53">
    <w:name w:val="Grid Table 5 Dark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54">
    <w:name w:val="Grid Table 5 Dark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55">
    <w:name w:val="Grid Table 5 Dark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56">
    <w:name w:val="Grid Table 5 Dark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57">
    <w:name w:val="Grid Table 6 Colorful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8">
    <w:name w:val="Grid Table 6 Colorful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9">
    <w:name w:val="Grid Table 6 Colorful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0">
    <w:name w:val="Grid Table 6 Colorful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1">
    <w:name w:val="Grid Table 6 Colorful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2">
    <w:name w:val="Grid Table 6 Colorful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3">
    <w:name w:val="Grid Table 6 Colorful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4">
    <w:name w:val="Grid Table 7 Colorful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9">
    <w:name w:val="List Table 2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0">
    <w:name w:val="List Table 2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1">
    <w:name w:val="List Table 2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2">
    <w:name w:val="List Table 2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3">
    <w:name w:val="List Table 2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4">
    <w:name w:val="List Table 2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5">
    <w:name w:val="List Table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5 Dark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6 Colorful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7">
    <w:name w:val="List Table 6 Colorful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8">
    <w:name w:val="List Table 6 Colorful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9">
    <w:name w:val="List Table 6 Colorful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0">
    <w:name w:val="List Table 6 Colorful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1">
    <w:name w:val="List Table 6 Colorful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2">
    <w:name w:val="List Table 6 Colorful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3">
    <w:name w:val="List Table 7 Colorful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4">
    <w:name w:val="List Table 7 Colorful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15">
    <w:name w:val="List Table 7 Colorful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16">
    <w:name w:val="List Table 7 Colorful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17">
    <w:name w:val="List Table 7 Colorful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18">
    <w:name w:val="List Table 7 Colorful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19">
    <w:name w:val="List Table 7 Colorful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20">
    <w:name w:val="Lined - Accent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1">
    <w:name w:val="Lined - Accent 1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22">
    <w:name w:val="Lined - Accent 2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23">
    <w:name w:val="Lined - Accent 3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4">
    <w:name w:val="Lined - Accent 4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5">
    <w:name w:val="Lined - Accent 5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6">
    <w:name w:val="Lined - Accent 6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7">
    <w:name w:val="Bordered &amp; Lined - Accent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8">
    <w:name w:val="Bordered &amp; Lined - Accent 1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29">
    <w:name w:val="Bordered &amp; Lined - Accent 2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0">
    <w:name w:val="Bordered &amp; Lined - Accent 3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31">
    <w:name w:val="Bordered &amp; Lined - Accent 4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32">
    <w:name w:val="Bordered &amp; Lined - Accent 5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33">
    <w:name w:val="Bordered &amp; Lined - Accent 6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34">
    <w:name w:val="Bordered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5">
    <w:name w:val="Bordered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6">
    <w:name w:val="Bordered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7">
    <w:name w:val="Bordered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8">
    <w:name w:val="Bordered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9">
    <w:name w:val="Bordered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0">
    <w:name w:val="Bordered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1">
    <w:name w:val="Hyperlink"/>
    <w:uiPriority w:val="99"/>
    <w:unhideWhenUsed/>
    <w:rPr>
      <w:color w:val="0000ff" w:themeColor="hyperlink"/>
      <w:u w:val="single"/>
    </w:rPr>
  </w:style>
  <w:style w:type="paragraph" w:styleId="842">
    <w:name w:val="footnote text"/>
    <w:basedOn w:val="859"/>
    <w:link w:val="843"/>
    <w:uiPriority w:val="99"/>
    <w:semiHidden/>
    <w:unhideWhenUsed/>
    <w:pPr>
      <w:spacing w:after="40" w:line="240" w:lineRule="auto"/>
    </w:pPr>
    <w:rPr>
      <w:sz w:val="18"/>
    </w:rPr>
  </w:style>
  <w:style w:type="character" w:styleId="843">
    <w:name w:val="Footnote Text Char"/>
    <w:link w:val="842"/>
    <w:uiPriority w:val="99"/>
    <w:rPr>
      <w:sz w:val="18"/>
    </w:rPr>
  </w:style>
  <w:style w:type="character" w:styleId="844">
    <w:name w:val="footnote reference"/>
    <w:uiPriority w:val="99"/>
    <w:unhideWhenUsed/>
    <w:rPr>
      <w:vertAlign w:val="superscript"/>
    </w:rPr>
  </w:style>
  <w:style w:type="paragraph" w:styleId="845">
    <w:name w:val="endnote text"/>
    <w:basedOn w:val="859"/>
    <w:link w:val="846"/>
    <w:uiPriority w:val="99"/>
    <w:semiHidden/>
    <w:unhideWhenUsed/>
    <w:pPr>
      <w:spacing w:after="0" w:line="240" w:lineRule="auto"/>
    </w:pPr>
    <w:rPr>
      <w:sz w:val="20"/>
    </w:rPr>
  </w:style>
  <w:style w:type="character" w:styleId="846">
    <w:name w:val="Endnote Text Char"/>
    <w:link w:val="845"/>
    <w:uiPriority w:val="99"/>
    <w:rPr>
      <w:sz w:val="20"/>
    </w:rPr>
  </w:style>
  <w:style w:type="character" w:styleId="847">
    <w:name w:val="endnote reference"/>
    <w:uiPriority w:val="99"/>
    <w:semiHidden/>
    <w:unhideWhenUsed/>
    <w:rPr>
      <w:vertAlign w:val="superscript"/>
    </w:rPr>
  </w:style>
  <w:style w:type="paragraph" w:styleId="848">
    <w:name w:val="toc 1"/>
    <w:basedOn w:val="859"/>
    <w:next w:val="859"/>
    <w:uiPriority w:val="39"/>
    <w:unhideWhenUsed/>
    <w:pPr>
      <w:ind w:left="0" w:right="0" w:firstLine="0"/>
      <w:spacing w:after="57"/>
    </w:pPr>
  </w:style>
  <w:style w:type="paragraph" w:styleId="849">
    <w:name w:val="toc 2"/>
    <w:basedOn w:val="859"/>
    <w:next w:val="859"/>
    <w:uiPriority w:val="39"/>
    <w:unhideWhenUsed/>
    <w:pPr>
      <w:ind w:left="283" w:right="0" w:firstLine="0"/>
      <w:spacing w:after="57"/>
    </w:pPr>
  </w:style>
  <w:style w:type="paragraph" w:styleId="850">
    <w:name w:val="toc 3"/>
    <w:basedOn w:val="859"/>
    <w:next w:val="859"/>
    <w:uiPriority w:val="39"/>
    <w:unhideWhenUsed/>
    <w:pPr>
      <w:ind w:left="567" w:right="0" w:firstLine="0"/>
      <w:spacing w:after="57"/>
    </w:pPr>
  </w:style>
  <w:style w:type="paragraph" w:styleId="851">
    <w:name w:val="toc 4"/>
    <w:basedOn w:val="859"/>
    <w:next w:val="859"/>
    <w:uiPriority w:val="39"/>
    <w:unhideWhenUsed/>
    <w:pPr>
      <w:ind w:left="850" w:right="0" w:firstLine="0"/>
      <w:spacing w:after="57"/>
    </w:pPr>
  </w:style>
  <w:style w:type="paragraph" w:styleId="852">
    <w:name w:val="toc 5"/>
    <w:basedOn w:val="859"/>
    <w:next w:val="859"/>
    <w:uiPriority w:val="39"/>
    <w:unhideWhenUsed/>
    <w:pPr>
      <w:ind w:left="1134" w:right="0" w:firstLine="0"/>
      <w:spacing w:after="57"/>
    </w:pPr>
  </w:style>
  <w:style w:type="paragraph" w:styleId="853">
    <w:name w:val="toc 6"/>
    <w:basedOn w:val="859"/>
    <w:next w:val="859"/>
    <w:uiPriority w:val="39"/>
    <w:unhideWhenUsed/>
    <w:pPr>
      <w:ind w:left="1417" w:right="0" w:firstLine="0"/>
      <w:spacing w:after="57"/>
    </w:pPr>
  </w:style>
  <w:style w:type="paragraph" w:styleId="854">
    <w:name w:val="toc 7"/>
    <w:basedOn w:val="859"/>
    <w:next w:val="859"/>
    <w:uiPriority w:val="39"/>
    <w:unhideWhenUsed/>
    <w:pPr>
      <w:ind w:left="1701" w:right="0" w:firstLine="0"/>
      <w:spacing w:after="57"/>
    </w:pPr>
  </w:style>
  <w:style w:type="paragraph" w:styleId="855">
    <w:name w:val="toc 8"/>
    <w:basedOn w:val="859"/>
    <w:next w:val="859"/>
    <w:uiPriority w:val="39"/>
    <w:unhideWhenUsed/>
    <w:pPr>
      <w:ind w:left="1984" w:right="0" w:firstLine="0"/>
      <w:spacing w:after="57"/>
    </w:pPr>
  </w:style>
  <w:style w:type="paragraph" w:styleId="856">
    <w:name w:val="toc 9"/>
    <w:basedOn w:val="859"/>
    <w:next w:val="859"/>
    <w:uiPriority w:val="39"/>
    <w:unhideWhenUsed/>
    <w:pPr>
      <w:ind w:left="2268" w:right="0" w:firstLine="0"/>
      <w:spacing w:after="57"/>
    </w:pPr>
  </w:style>
  <w:style w:type="paragraph" w:styleId="857">
    <w:name w:val="TOC Heading"/>
    <w:uiPriority w:val="39"/>
    <w:unhideWhenUsed/>
  </w:style>
  <w:style w:type="paragraph" w:styleId="858">
    <w:name w:val="table of figures"/>
    <w:basedOn w:val="859"/>
    <w:next w:val="859"/>
    <w:uiPriority w:val="99"/>
    <w:unhideWhenUsed/>
    <w:pPr>
      <w:spacing w:after="0" w:afterAutospacing="0"/>
    </w:pPr>
  </w:style>
  <w:style w:type="paragraph" w:styleId="859" w:default="1">
    <w:name w:val="Normal"/>
    <w:qFormat/>
  </w:style>
  <w:style w:type="table" w:styleId="86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1" w:default="1">
    <w:name w:val="No List"/>
    <w:uiPriority w:val="99"/>
    <w:semiHidden/>
    <w:unhideWhenUsed/>
  </w:style>
  <w:style w:type="paragraph" w:styleId="862">
    <w:name w:val="No Spacing"/>
    <w:basedOn w:val="859"/>
    <w:uiPriority w:val="1"/>
    <w:qFormat/>
    <w:pPr>
      <w:spacing w:after="0" w:line="240" w:lineRule="auto"/>
    </w:pPr>
  </w:style>
  <w:style w:type="paragraph" w:styleId="863">
    <w:name w:val="List Paragraph"/>
    <w:basedOn w:val="859"/>
    <w:uiPriority w:val="34"/>
    <w:qFormat/>
    <w:pPr>
      <w:contextualSpacing/>
      <w:ind w:left="720"/>
    </w:pPr>
  </w:style>
  <w:style w:type="character" w:styleId="864" w:default="1">
    <w:name w:val="Default Paragraph Font"/>
    <w:uiPriority w:val="1"/>
    <w:semiHidden/>
    <w:unhideWhenUsed/>
  </w:style>
  <w:style w:type="paragraph" w:styleId="865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66" w:customStyle="1">
    <w:name w:val="ConsPlusTitle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lavskaya</cp:lastModifiedBy>
  <cp:revision>13</cp:revision>
  <dcterms:modified xsi:type="dcterms:W3CDTF">2026-04-21T23:56:35Z</dcterms:modified>
</cp:coreProperties>
</file>